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47D" w:rsidRDefault="002F547D" w:rsidP="002F547D">
      <w:pPr>
        <w:pStyle w:val="CABEZA"/>
        <w:rPr>
          <w:bCs/>
          <w:szCs w:val="18"/>
          <w:lang w:val="es-MX"/>
        </w:rPr>
      </w:pPr>
      <w:r w:rsidRPr="00F63670">
        <w:rPr>
          <w:rFonts w:cs="Times New Roman"/>
        </w:rPr>
        <w:t>SECRETARIA DE ECONOMIA</w:t>
      </w:r>
    </w:p>
    <w:p w:rsidR="002F547D" w:rsidRDefault="002F547D"/>
    <w:p w:rsidR="002F547D" w:rsidRPr="00F63670" w:rsidRDefault="002F547D" w:rsidP="002F547D">
      <w:pPr>
        <w:pStyle w:val="Titulo1"/>
        <w:rPr>
          <w:rFonts w:cs="Times New Roman"/>
        </w:rPr>
      </w:pPr>
      <w:bookmarkStart w:id="0" w:name="_GoBack"/>
      <w:r w:rsidRPr="00F63670">
        <w:rPr>
          <w:rFonts w:cs="Times New Roman"/>
        </w:rPr>
        <w:t>DECLARATORIA de vigencia de la Norma Mexicana NMX-J-739-2-ANCE-2018.</w:t>
      </w:r>
    </w:p>
    <w:bookmarkEnd w:id="0"/>
    <w:p w:rsidR="002F547D" w:rsidRPr="00F63670" w:rsidRDefault="002F547D" w:rsidP="002F547D">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2F547D" w:rsidRPr="00295894" w:rsidRDefault="002F547D" w:rsidP="002F547D">
      <w:pPr>
        <w:pStyle w:val="Texto"/>
        <w:spacing w:line="276" w:lineRule="exact"/>
        <w:rPr>
          <w:bCs/>
          <w:sz w:val="16"/>
          <w:szCs w:val="18"/>
          <w:lang w:val="es-MX"/>
        </w:rPr>
      </w:pPr>
      <w:r w:rsidRPr="00295894">
        <w:rPr>
          <w:bCs/>
          <w:sz w:val="16"/>
          <w:szCs w:val="18"/>
          <w:lang w:val="es-MX"/>
        </w:rPr>
        <w:t>DECLARATORIA DE VIGENCIA DE LA NORMA MEXICANA NMX-J-739-2-ANCE-2018, “ENERGÍA MARINA</w:t>
      </w:r>
      <w:r>
        <w:rPr>
          <w:bCs/>
          <w:sz w:val="16"/>
          <w:szCs w:val="18"/>
          <w:lang w:val="es-MX"/>
        </w:rPr>
        <w:t>-</w:t>
      </w:r>
      <w:r w:rsidRPr="00295894">
        <w:rPr>
          <w:bCs/>
          <w:sz w:val="16"/>
          <w:szCs w:val="18"/>
          <w:lang w:val="es-MX"/>
        </w:rPr>
        <w:t>CONVERTIDORES DE OLAS, DE MAREAS Y OTRAS CORRIENTES DE AGUA</w:t>
      </w:r>
      <w:r>
        <w:rPr>
          <w:bCs/>
          <w:sz w:val="16"/>
          <w:szCs w:val="18"/>
          <w:lang w:val="es-MX"/>
        </w:rPr>
        <w:t>-</w:t>
      </w:r>
      <w:r w:rsidRPr="00295894">
        <w:rPr>
          <w:bCs/>
          <w:sz w:val="16"/>
          <w:szCs w:val="18"/>
          <w:lang w:val="es-MX"/>
        </w:rPr>
        <w:t>PARTE 2: REQUISITOS DE DISEÑO PARA SISTEMAS DE ENERGÍA MARINA”</w:t>
      </w:r>
      <w:r>
        <w:rPr>
          <w:bCs/>
          <w:sz w:val="16"/>
          <w:szCs w:val="18"/>
          <w:lang w:val="es-MX"/>
        </w:rPr>
        <w:t>.</w:t>
      </w:r>
    </w:p>
    <w:p w:rsidR="002F547D" w:rsidRPr="00187A8D" w:rsidRDefault="002F547D" w:rsidP="002F547D">
      <w:pPr>
        <w:pStyle w:val="Texto"/>
        <w:spacing w:line="276" w:lineRule="exact"/>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2F547D" w:rsidRPr="00187A8D" w:rsidRDefault="002F547D" w:rsidP="002F547D">
      <w:pPr>
        <w:pStyle w:val="Texto"/>
        <w:spacing w:line="280" w:lineRule="exact"/>
        <w:rPr>
          <w:szCs w:val="18"/>
        </w:rPr>
      </w:pPr>
      <w:r w:rsidRPr="00187A8D">
        <w:rPr>
          <w:bCs/>
          <w:szCs w:val="18"/>
          <w:lang w:val="es-MX"/>
        </w:rPr>
        <w:t xml:space="preserve">La presente Norma Mexicana </w:t>
      </w:r>
      <w:r w:rsidRPr="00187A8D">
        <w:rPr>
          <w:szCs w:val="18"/>
          <w:lang w:val="es-MX"/>
        </w:rPr>
        <w:t xml:space="preserve">NMX-J-739-2-ANCE-2018 </w:t>
      </w:r>
      <w:r w:rsidRPr="00187A8D">
        <w:rPr>
          <w:bCs/>
          <w:szCs w:val="18"/>
          <w:lang w:val="es-MX"/>
        </w:rPr>
        <w:t xml:space="preserve">entrará en vigor 60 días naturales contados a partir del día natural inmediato siguiente de la publicación de esta Declaratoria de Vigencia en el Diario Oficial de la Federación. </w:t>
      </w:r>
      <w:r w:rsidRPr="00187A8D">
        <w:rPr>
          <w:szCs w:val="18"/>
        </w:rPr>
        <w:t>SINEC-20180717173918385</w:t>
      </w:r>
      <w:r>
        <w:rPr>
          <w:szCs w:val="18"/>
        </w:rPr>
        <w:t>.</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4"/>
        <w:gridCol w:w="5618"/>
      </w:tblGrid>
      <w:tr w:rsidR="002F547D" w:rsidRPr="00295894" w:rsidTr="00C56A1A">
        <w:trPr>
          <w:trHeight w:val="20"/>
          <w:jc w:val="center"/>
        </w:trPr>
        <w:tc>
          <w:tcPr>
            <w:tcW w:w="3094" w:type="dxa"/>
            <w:shd w:val="pct10" w:color="auto" w:fill="auto"/>
            <w:noWrap/>
          </w:tcPr>
          <w:p w:rsidR="002F547D" w:rsidRPr="00295894" w:rsidRDefault="002F547D" w:rsidP="00C56A1A">
            <w:pPr>
              <w:pStyle w:val="Texto"/>
              <w:spacing w:line="280" w:lineRule="exact"/>
              <w:ind w:firstLine="0"/>
              <w:jc w:val="center"/>
              <w:rPr>
                <w:b/>
                <w:sz w:val="16"/>
                <w:szCs w:val="18"/>
                <w:lang w:val="es-MX"/>
              </w:rPr>
            </w:pPr>
            <w:r w:rsidRPr="00295894">
              <w:rPr>
                <w:b/>
                <w:sz w:val="16"/>
                <w:szCs w:val="18"/>
                <w:lang w:val="es-MX"/>
              </w:rPr>
              <w:t>CLAVE O CÓDIGO</w:t>
            </w:r>
          </w:p>
        </w:tc>
        <w:tc>
          <w:tcPr>
            <w:tcW w:w="6665" w:type="dxa"/>
            <w:shd w:val="pct10" w:color="auto" w:fill="auto"/>
          </w:tcPr>
          <w:p w:rsidR="002F547D" w:rsidRPr="00295894" w:rsidRDefault="002F547D" w:rsidP="00C56A1A">
            <w:pPr>
              <w:pStyle w:val="Texto"/>
              <w:spacing w:line="280" w:lineRule="exact"/>
              <w:ind w:firstLine="0"/>
              <w:jc w:val="center"/>
              <w:rPr>
                <w:b/>
                <w:sz w:val="16"/>
                <w:szCs w:val="18"/>
                <w:lang w:val="es-MX"/>
              </w:rPr>
            </w:pPr>
            <w:r w:rsidRPr="00295894">
              <w:rPr>
                <w:b/>
                <w:sz w:val="16"/>
                <w:szCs w:val="18"/>
                <w:lang w:val="es-MX"/>
              </w:rPr>
              <w:t>TÍTULO DE LA NORMA MEXICANA</w:t>
            </w:r>
          </w:p>
        </w:tc>
      </w:tr>
      <w:tr w:rsidR="002F547D" w:rsidRPr="00187A8D" w:rsidTr="00C56A1A">
        <w:trPr>
          <w:trHeight w:val="20"/>
          <w:jc w:val="center"/>
        </w:trPr>
        <w:tc>
          <w:tcPr>
            <w:tcW w:w="3094" w:type="dxa"/>
            <w:vAlign w:val="center"/>
          </w:tcPr>
          <w:p w:rsidR="002F547D" w:rsidRPr="00187A8D" w:rsidRDefault="002F547D" w:rsidP="00C56A1A">
            <w:pPr>
              <w:pStyle w:val="Texto"/>
              <w:spacing w:line="280" w:lineRule="exact"/>
              <w:ind w:firstLine="0"/>
              <w:jc w:val="center"/>
              <w:rPr>
                <w:b/>
                <w:szCs w:val="18"/>
                <w:lang w:val="es-MX"/>
              </w:rPr>
            </w:pPr>
            <w:r w:rsidRPr="003C44B5">
              <w:rPr>
                <w:b/>
                <w:sz w:val="16"/>
                <w:szCs w:val="18"/>
                <w:lang w:val="es-MX"/>
              </w:rPr>
              <w:t>NMX-J-739-2-ANCE-2018</w:t>
            </w:r>
          </w:p>
        </w:tc>
        <w:tc>
          <w:tcPr>
            <w:tcW w:w="6665" w:type="dxa"/>
          </w:tcPr>
          <w:p w:rsidR="002F547D" w:rsidRPr="00295894" w:rsidRDefault="002F547D" w:rsidP="00C56A1A">
            <w:pPr>
              <w:pStyle w:val="Texto"/>
              <w:spacing w:line="280" w:lineRule="exact"/>
              <w:ind w:firstLine="0"/>
              <w:rPr>
                <w:szCs w:val="18"/>
                <w:highlight w:val="yellow"/>
              </w:rPr>
            </w:pPr>
            <w:r w:rsidRPr="00295894">
              <w:rPr>
                <w:bCs/>
                <w:szCs w:val="18"/>
                <w:lang w:val="es-MX"/>
              </w:rPr>
              <w:t>Energía marina</w:t>
            </w:r>
            <w:r>
              <w:rPr>
                <w:bCs/>
                <w:szCs w:val="18"/>
                <w:lang w:val="es-MX"/>
              </w:rPr>
              <w:t>-</w:t>
            </w:r>
            <w:r w:rsidRPr="00295894">
              <w:rPr>
                <w:bCs/>
                <w:szCs w:val="18"/>
                <w:lang w:val="es-MX"/>
              </w:rPr>
              <w:t>Convertidores de olas, de mareas y otras corrientes de agua</w:t>
            </w:r>
            <w:r>
              <w:rPr>
                <w:bCs/>
                <w:szCs w:val="18"/>
                <w:lang w:val="es-MX"/>
              </w:rPr>
              <w:t>-</w:t>
            </w:r>
            <w:r w:rsidRPr="00295894">
              <w:rPr>
                <w:bCs/>
                <w:szCs w:val="18"/>
                <w:lang w:val="es-MX"/>
              </w:rPr>
              <w:t>Parte 2: Requisitos de diseño para sistemas de energía marina</w:t>
            </w:r>
          </w:p>
        </w:tc>
      </w:tr>
      <w:tr w:rsidR="002F547D" w:rsidRPr="00187A8D" w:rsidTr="00C56A1A">
        <w:trPr>
          <w:trHeight w:val="20"/>
          <w:jc w:val="center"/>
        </w:trPr>
        <w:tc>
          <w:tcPr>
            <w:tcW w:w="9759" w:type="dxa"/>
            <w:gridSpan w:val="2"/>
          </w:tcPr>
          <w:p w:rsidR="002F547D" w:rsidRPr="00187A8D" w:rsidRDefault="002F547D" w:rsidP="00C56A1A">
            <w:pPr>
              <w:pStyle w:val="Texto"/>
              <w:spacing w:line="280" w:lineRule="exact"/>
              <w:ind w:firstLine="0"/>
              <w:jc w:val="center"/>
              <w:rPr>
                <w:b/>
                <w:szCs w:val="18"/>
              </w:rPr>
            </w:pPr>
            <w:r w:rsidRPr="00187A8D">
              <w:rPr>
                <w:b/>
                <w:szCs w:val="18"/>
              </w:rPr>
              <w:t>Objetivo y campo de aplicación</w:t>
            </w:r>
          </w:p>
          <w:p w:rsidR="002F547D" w:rsidRPr="00187A8D" w:rsidRDefault="002F547D" w:rsidP="00C56A1A">
            <w:pPr>
              <w:pStyle w:val="Texto"/>
              <w:spacing w:line="280" w:lineRule="exact"/>
              <w:ind w:firstLine="0"/>
              <w:rPr>
                <w:szCs w:val="18"/>
              </w:rPr>
            </w:pPr>
            <w:r w:rsidRPr="00187A8D">
              <w:rPr>
                <w:szCs w:val="18"/>
              </w:rPr>
              <w:t>Esta Norma Mexicana establece los requisitos de diseño esenciales para asegurar la integridad de la ingeniería de convertidores de energía de olas, de mareas y otras corrientes de agua, denominados convertidores de energía marina (</w:t>
            </w:r>
            <w:proofErr w:type="spellStart"/>
            <w:r w:rsidRPr="00187A8D">
              <w:rPr>
                <w:szCs w:val="18"/>
              </w:rPr>
              <w:t>MECs</w:t>
            </w:r>
            <w:proofErr w:type="spellEnd"/>
            <w:r w:rsidRPr="00187A8D">
              <w:rPr>
                <w:szCs w:val="18"/>
              </w:rPr>
              <w:t>), para una vida de diseño específico. Su propósito es proporcionar un nivel idóneo de protección contra el daño de todos los peligros que pueda causar la falla de la estructura primaria, que es el sistema colectivo compuesto por elementos estructurales, cimientos, amarres y anclajes, pilotes y dispositivo de flotabilidad que se diseñan para resistir cargas globales.</w:t>
            </w:r>
          </w:p>
        </w:tc>
      </w:tr>
      <w:tr w:rsidR="002F547D" w:rsidRPr="00187A8D" w:rsidTr="00C56A1A">
        <w:trPr>
          <w:trHeight w:val="20"/>
          <w:jc w:val="center"/>
        </w:trPr>
        <w:tc>
          <w:tcPr>
            <w:tcW w:w="9759" w:type="dxa"/>
            <w:gridSpan w:val="2"/>
          </w:tcPr>
          <w:p w:rsidR="002F547D" w:rsidRPr="00187A8D" w:rsidRDefault="002F547D" w:rsidP="00C56A1A">
            <w:pPr>
              <w:pStyle w:val="Texto"/>
              <w:spacing w:line="280" w:lineRule="exact"/>
              <w:ind w:firstLine="0"/>
              <w:jc w:val="center"/>
              <w:rPr>
                <w:b/>
                <w:szCs w:val="18"/>
                <w:lang w:val="es-MX"/>
              </w:rPr>
            </w:pPr>
            <w:r w:rsidRPr="00187A8D">
              <w:rPr>
                <w:b/>
                <w:szCs w:val="18"/>
                <w:lang w:val="es-MX"/>
              </w:rPr>
              <w:t>Concordancia con Normas Internacionales</w:t>
            </w:r>
          </w:p>
          <w:p w:rsidR="002F547D" w:rsidRPr="00187A8D" w:rsidRDefault="002F547D" w:rsidP="00C56A1A">
            <w:pPr>
              <w:pStyle w:val="Texto"/>
              <w:spacing w:line="280" w:lineRule="exact"/>
              <w:ind w:firstLine="0"/>
              <w:rPr>
                <w:b/>
                <w:szCs w:val="18"/>
                <w:lang w:val="es-MX"/>
              </w:rPr>
            </w:pPr>
            <w:r w:rsidRPr="00187A8D">
              <w:rPr>
                <w:szCs w:val="18"/>
              </w:rPr>
              <w:t>Esta NMX-J-739-2-ANCE-2018, Energía marina</w:t>
            </w:r>
            <w:r>
              <w:rPr>
                <w:szCs w:val="18"/>
              </w:rPr>
              <w:t>-</w:t>
            </w:r>
            <w:r w:rsidRPr="00187A8D">
              <w:rPr>
                <w:szCs w:val="18"/>
              </w:rPr>
              <w:t>Convertidores de olas, de mareas y otras corrientes de agua</w:t>
            </w:r>
            <w:r>
              <w:rPr>
                <w:szCs w:val="18"/>
              </w:rPr>
              <w:t>-</w:t>
            </w:r>
            <w:r w:rsidRPr="00187A8D">
              <w:rPr>
                <w:szCs w:val="18"/>
              </w:rPr>
              <w:t>Parte 2: Requisitos de diseño para sistemas de energía marina, NO ES EQUIVALENTE con alguna Norma Internacional, por no existir esta última al momento de elaborar la Norma Mexicana.</w:t>
            </w:r>
          </w:p>
        </w:tc>
      </w:tr>
      <w:tr w:rsidR="002F547D" w:rsidRPr="00187A8D" w:rsidTr="00C56A1A">
        <w:trPr>
          <w:trHeight w:val="20"/>
          <w:jc w:val="center"/>
        </w:trPr>
        <w:tc>
          <w:tcPr>
            <w:tcW w:w="9759" w:type="dxa"/>
            <w:gridSpan w:val="2"/>
          </w:tcPr>
          <w:p w:rsidR="002F547D" w:rsidRPr="00187A8D" w:rsidRDefault="002F547D" w:rsidP="00C56A1A">
            <w:pPr>
              <w:pStyle w:val="Texto"/>
              <w:spacing w:line="280" w:lineRule="exact"/>
              <w:ind w:firstLine="0"/>
              <w:jc w:val="center"/>
              <w:rPr>
                <w:b/>
                <w:szCs w:val="18"/>
                <w:lang w:val="en-US"/>
              </w:rPr>
            </w:pPr>
            <w:proofErr w:type="spellStart"/>
            <w:r w:rsidRPr="00187A8D">
              <w:rPr>
                <w:b/>
                <w:szCs w:val="18"/>
                <w:lang w:val="en-US"/>
              </w:rPr>
              <w:t>Bibliografía</w:t>
            </w:r>
            <w:proofErr w:type="spellEnd"/>
          </w:p>
          <w:p w:rsidR="002F547D" w:rsidRPr="00187A8D" w:rsidRDefault="002F547D" w:rsidP="00C56A1A">
            <w:pPr>
              <w:pStyle w:val="Texto"/>
              <w:tabs>
                <w:tab w:val="left" w:pos="405"/>
              </w:tabs>
              <w:spacing w:line="280" w:lineRule="exact"/>
              <w:ind w:left="405" w:hanging="405"/>
              <w:rPr>
                <w:szCs w:val="18"/>
                <w:lang w:val="en-US"/>
              </w:rPr>
            </w:pPr>
            <w:r w:rsidRPr="00187A8D">
              <w:rPr>
                <w:szCs w:val="18"/>
                <w:lang w:val="en-US"/>
              </w:rPr>
              <w:lastRenderedPageBreak/>
              <w:t>•</w:t>
            </w:r>
            <w:r w:rsidRPr="00187A8D">
              <w:rPr>
                <w:szCs w:val="18"/>
                <w:lang w:val="en-US"/>
              </w:rPr>
              <w:tab/>
              <w:t xml:space="preserve">IEC TS 62600-2 ed1.0 (2016-08), Marine </w:t>
            </w:r>
            <w:proofErr w:type="gramStart"/>
            <w:r w:rsidRPr="00187A8D">
              <w:rPr>
                <w:szCs w:val="18"/>
                <w:lang w:val="en-US"/>
              </w:rPr>
              <w:t>energy</w:t>
            </w:r>
            <w:proofErr w:type="gramEnd"/>
            <w:r>
              <w:rPr>
                <w:szCs w:val="18"/>
                <w:lang w:val="en-US"/>
              </w:rPr>
              <w:t>-</w:t>
            </w:r>
            <w:r w:rsidRPr="00187A8D">
              <w:rPr>
                <w:szCs w:val="18"/>
                <w:lang w:val="en-US"/>
              </w:rPr>
              <w:t>Wave, tidal and other water current converters</w:t>
            </w:r>
            <w:r>
              <w:rPr>
                <w:szCs w:val="18"/>
                <w:lang w:val="en-US"/>
              </w:rPr>
              <w:t>-</w:t>
            </w:r>
            <w:r w:rsidRPr="00187A8D">
              <w:rPr>
                <w:szCs w:val="18"/>
                <w:lang w:val="en-US"/>
              </w:rPr>
              <w:t>Part 2: Design requirements for marine energy systems.</w:t>
            </w:r>
          </w:p>
        </w:tc>
      </w:tr>
    </w:tbl>
    <w:p w:rsidR="002F547D" w:rsidRPr="00187A8D" w:rsidRDefault="002F547D" w:rsidP="002F547D">
      <w:pPr>
        <w:pStyle w:val="Texto"/>
        <w:spacing w:line="280" w:lineRule="exact"/>
        <w:rPr>
          <w:bCs/>
          <w:szCs w:val="18"/>
          <w:lang w:val="en-US"/>
        </w:rPr>
      </w:pPr>
    </w:p>
    <w:p w:rsidR="002F547D" w:rsidRPr="00295894" w:rsidRDefault="002F547D" w:rsidP="002F547D">
      <w:pPr>
        <w:pStyle w:val="Texto"/>
        <w:spacing w:line="280" w:lineRule="exact"/>
        <w:rPr>
          <w:bCs/>
          <w:szCs w:val="18"/>
          <w:lang w:val="es-MX"/>
        </w:rPr>
      </w:pPr>
      <w:r w:rsidRPr="00295894">
        <w:rPr>
          <w:bCs/>
          <w:szCs w:val="18"/>
          <w:lang w:val="es-MX"/>
        </w:rPr>
        <w:t>Atentamente</w:t>
      </w:r>
    </w:p>
    <w:p w:rsidR="002F547D" w:rsidRDefault="002F547D" w:rsidP="002F547D">
      <w:pPr>
        <w:pStyle w:val="Texto"/>
        <w:spacing w:line="280" w:lineRule="exact"/>
        <w:rPr>
          <w:bCs/>
          <w:szCs w:val="18"/>
          <w:lang w:val="es-MX"/>
        </w:rPr>
      </w:pPr>
      <w:r w:rsidRPr="00187A8D">
        <w:rPr>
          <w:bCs/>
          <w:szCs w:val="18"/>
          <w:lang w:val="es-MX"/>
        </w:rPr>
        <w:t>Ciudad de México, a 6 de septiembre de 2018</w:t>
      </w:r>
      <w:r>
        <w:rPr>
          <w:bCs/>
          <w:szCs w:val="18"/>
          <w:lang w:val="es-MX"/>
        </w:rPr>
        <w:t xml:space="preserve">.- El </w:t>
      </w:r>
      <w:r w:rsidRPr="00295894">
        <w:rPr>
          <w:bCs/>
          <w:szCs w:val="18"/>
          <w:lang w:val="es-MX"/>
        </w:rPr>
        <w:t>Director General de Normas y Secretariado Técnico de la Comisión Nacional</w:t>
      </w:r>
      <w:r>
        <w:rPr>
          <w:bCs/>
          <w:szCs w:val="18"/>
          <w:lang w:val="es-MX"/>
        </w:rPr>
        <w:t xml:space="preserve"> </w:t>
      </w:r>
      <w:r w:rsidRPr="00295894">
        <w:rPr>
          <w:bCs/>
          <w:szCs w:val="18"/>
          <w:lang w:val="es-MX"/>
        </w:rPr>
        <w:t>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w:t>
      </w:r>
      <w:r>
        <w:rPr>
          <w:b/>
          <w:bCs/>
          <w:szCs w:val="18"/>
          <w:lang w:val="es-MX"/>
        </w:rPr>
        <w:t>a</w:t>
      </w:r>
      <w:r w:rsidRPr="00295894">
        <w:rPr>
          <w:bCs/>
          <w:szCs w:val="18"/>
          <w:lang w:val="es-MX"/>
        </w:rPr>
        <w:t>.-</w:t>
      </w:r>
      <w:proofErr w:type="gramEnd"/>
      <w:r w:rsidRPr="00295894">
        <w:rPr>
          <w:bCs/>
          <w:szCs w:val="18"/>
          <w:lang w:val="es-MX"/>
        </w:rPr>
        <w:t xml:space="preserve"> </w:t>
      </w:r>
      <w:r>
        <w:rPr>
          <w:bCs/>
          <w:szCs w:val="18"/>
          <w:lang w:val="es-MX"/>
        </w:rPr>
        <w:t>Rúbrica.</w:t>
      </w:r>
    </w:p>
    <w:p w:rsidR="002F547D" w:rsidRDefault="002F547D"/>
    <w:sectPr w:rsidR="002F547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B93" w:rsidRDefault="00FB6B93" w:rsidP="002F547D">
      <w:r>
        <w:separator/>
      </w:r>
    </w:p>
  </w:endnote>
  <w:endnote w:type="continuationSeparator" w:id="0">
    <w:p w:rsidR="00FB6B93" w:rsidRDefault="00FB6B93" w:rsidP="002F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B93" w:rsidRDefault="00FB6B93" w:rsidP="002F547D">
      <w:r>
        <w:separator/>
      </w:r>
    </w:p>
  </w:footnote>
  <w:footnote w:type="continuationSeparator" w:id="0">
    <w:p w:rsidR="00FB6B93" w:rsidRDefault="00FB6B93" w:rsidP="002F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47D" w:rsidRPr="00F63670" w:rsidRDefault="002F547D" w:rsidP="002F547D">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2F547D" w:rsidRDefault="002F54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7D"/>
    <w:rsid w:val="002F547D"/>
    <w:rsid w:val="00FB6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B546"/>
  <w15:chartTrackingRefBased/>
  <w15:docId w15:val="{362DDA1A-958C-43BC-A7C1-65A0F11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4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F547D"/>
    <w:pPr>
      <w:spacing w:after="101" w:line="216" w:lineRule="exact"/>
      <w:ind w:firstLine="288"/>
      <w:jc w:val="both"/>
    </w:pPr>
    <w:rPr>
      <w:rFonts w:ascii="Arial" w:hAnsi="Arial" w:cs="Arial"/>
      <w:sz w:val="18"/>
      <w:szCs w:val="20"/>
    </w:rPr>
  </w:style>
  <w:style w:type="paragraph" w:customStyle="1" w:styleId="Titulo1">
    <w:name w:val="Titulo 1"/>
    <w:basedOn w:val="Texto"/>
    <w:rsid w:val="002F547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F547D"/>
    <w:pPr>
      <w:pBdr>
        <w:top w:val="double" w:sz="6" w:space="1" w:color="auto"/>
      </w:pBdr>
      <w:spacing w:line="240" w:lineRule="auto"/>
      <w:ind w:firstLine="0"/>
      <w:outlineLvl w:val="1"/>
    </w:pPr>
    <w:rPr>
      <w:lang w:val="es-MX"/>
    </w:rPr>
  </w:style>
  <w:style w:type="character" w:customStyle="1" w:styleId="TextoCar">
    <w:name w:val="Texto Car"/>
    <w:link w:val="Texto"/>
    <w:locked/>
    <w:rsid w:val="002F547D"/>
    <w:rPr>
      <w:rFonts w:ascii="Arial" w:eastAsia="Times New Roman" w:hAnsi="Arial" w:cs="Arial"/>
      <w:sz w:val="18"/>
      <w:szCs w:val="20"/>
      <w:lang w:val="es-ES" w:eastAsia="es-ES"/>
    </w:rPr>
  </w:style>
  <w:style w:type="paragraph" w:customStyle="1" w:styleId="CABEZA">
    <w:name w:val="CABEZA"/>
    <w:basedOn w:val="Normal"/>
    <w:rsid w:val="002F547D"/>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2F547D"/>
    <w:pPr>
      <w:tabs>
        <w:tab w:val="center" w:pos="4419"/>
        <w:tab w:val="right" w:pos="8838"/>
      </w:tabs>
    </w:pPr>
  </w:style>
  <w:style w:type="character" w:customStyle="1" w:styleId="EncabezadoCar">
    <w:name w:val="Encabezado Car"/>
    <w:basedOn w:val="Fuentedeprrafopredeter"/>
    <w:link w:val="Encabezado"/>
    <w:uiPriority w:val="99"/>
    <w:rsid w:val="002F54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547D"/>
    <w:pPr>
      <w:tabs>
        <w:tab w:val="center" w:pos="4419"/>
        <w:tab w:val="right" w:pos="8838"/>
      </w:tabs>
    </w:pPr>
  </w:style>
  <w:style w:type="character" w:customStyle="1" w:styleId="PiedepginaCar">
    <w:name w:val="Pie de página Car"/>
    <w:basedOn w:val="Fuentedeprrafopredeter"/>
    <w:link w:val="Piedepgina"/>
    <w:uiPriority w:val="99"/>
    <w:rsid w:val="002F547D"/>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2F547D"/>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2019-01-30T12:52:00Z</dcterms:modified>
</cp:coreProperties>
</file>